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widowControl/>
        <w:suppressAutoHyphens w:val="true"/>
        <w:overflowPunct w:val="false"/>
        <w:bidi w:val="0"/>
        <w:spacing w:lineRule="auto" w:line="240" w:before="0" w:after="0"/>
        <w:ind w:left="0" w:right="0" w:hanging="0"/>
        <w:jc w:val="center"/>
        <w:rPr>
          <w:b/>
          <w:b/>
          <w:sz w:val="30"/>
          <w:szCs w:val="30"/>
          <w:lang w:val="ru-RU"/>
        </w:rPr>
      </w:pPr>
      <w:r>
        <w:rPr>
          <w:b/>
          <w:sz w:val="30"/>
          <w:szCs w:val="30"/>
          <w:lang w:val="ru-RU"/>
        </w:rPr>
        <w:t xml:space="preserve">Порядок сопровождения инвестиционных проектов </w:t>
      </w:r>
    </w:p>
    <w:p>
      <w:pPr>
        <w:pStyle w:val="Normal"/>
        <w:widowControl/>
        <w:suppressAutoHyphens w:val="true"/>
        <w:overflowPunct w:val="false"/>
        <w:bidi w:val="0"/>
        <w:spacing w:lineRule="auto" w:line="240" w:before="0" w:after="0"/>
        <w:ind w:left="0" w:right="0" w:hanging="0"/>
        <w:jc w:val="center"/>
        <w:rPr>
          <w:b/>
          <w:b/>
          <w:sz w:val="30"/>
          <w:szCs w:val="30"/>
          <w:lang w:val="ru-RU"/>
        </w:rPr>
      </w:pPr>
      <w:r>
        <w:rPr>
          <w:b/>
          <w:sz w:val="30"/>
          <w:szCs w:val="30"/>
          <w:lang w:val="ru-RU"/>
        </w:rPr>
        <w:t>по принципу «Одного окна»</w:t>
      </w:r>
    </w:p>
    <w:p>
      <w:pPr>
        <w:pStyle w:val="Normal"/>
        <w:widowControl/>
        <w:suppressAutoHyphens w:val="true"/>
        <w:overflowPunct w:val="false"/>
        <w:bidi w:val="0"/>
        <w:spacing w:lineRule="auto" w:line="240" w:before="0" w:after="0"/>
        <w:ind w:left="0" w:right="0" w:hanging="0"/>
        <w:jc w:val="left"/>
        <w:rPr>
          <w:b w:val="false"/>
          <w:b w:val="false"/>
          <w:bCs w:val="false"/>
          <w:sz w:val="28"/>
          <w:szCs w:val="28"/>
          <w:lang w:val="ru-RU"/>
        </w:rPr>
      </w:pPr>
      <w:r>
        <w:rPr>
          <w:b w:val="false"/>
          <w:bCs w:val="false"/>
          <w:sz w:val="28"/>
          <w:szCs w:val="28"/>
          <w:lang w:val="ru-RU"/>
        </w:rPr>
      </w:r>
    </w:p>
    <w:p>
      <w:pPr>
        <w:pStyle w:val="Normal"/>
        <w:widowControl/>
        <w:suppressAutoHyphens w:val="true"/>
        <w:overflowPunct w:val="false"/>
        <w:bidi w:val="0"/>
        <w:snapToGrid w:val="false"/>
        <w:spacing w:lineRule="auto" w:line="240" w:before="0" w:after="0"/>
        <w:jc w:val="both"/>
        <w:rPr/>
      </w:pPr>
      <w:r>
        <w:rPr>
          <w:b w:val="false"/>
          <w:bCs w:val="false"/>
          <w:color w:val="000000"/>
          <w:sz w:val="26"/>
          <w:szCs w:val="26"/>
          <w:lang w:val="ru-RU"/>
        </w:rPr>
        <w:t>Порядок сопровождения инвестиционных проектов по принципу «одного окна» на территории Быстринского муниципального района (далее - Порядок) устанавливает порядок взаимодействия органов местного самоуправления с участниками инвестиционного процесса в период сопровождения инвестиционных проектов, реализуемых и (или) планируемых к реализации на территории Быстринского муниципального района по принципу «одного окна», а также последовательность действий и механизм оказания Администрацией Быстринского муниципального района (далее - районная администрация) информационного, консультационного и организационного содействия субъектам инвестиционной деятельности, регулирует отношения, возникающие в ходе планирования и реализации инвестиционных проектов на различных его стадиях, во время взаимодействия между участниками инвестиционного процесса.</w:t>
      </w:r>
    </w:p>
    <w:p>
      <w:pPr>
        <w:pStyle w:val="Normal"/>
        <w:widowControl/>
        <w:suppressAutoHyphens w:val="true"/>
        <w:overflowPunct w:val="false"/>
        <w:bidi w:val="0"/>
        <w:snapToGrid w:val="false"/>
        <w:spacing w:lineRule="auto" w:line="240" w:before="0" w:after="0"/>
        <w:jc w:val="both"/>
        <w:rPr/>
      </w:pPr>
      <w:r>
        <w:rPr>
          <w:b w:val="false"/>
          <w:bCs w:val="false"/>
          <w:color w:val="000000"/>
          <w:sz w:val="26"/>
          <w:szCs w:val="26"/>
          <w:lang w:val="ru-RU"/>
        </w:rPr>
        <w:t>В целях создания благоприятных условий для ведения предпринимательской и инвестиционной деятельности в Быстринском муниципальном районе; внедрения Стандарта деятельности органов местного самоуправления Быстринского муниципального района по обеспечению благоприятного инвестиционного климата постановлением администрации Быстринского муниципального района от 07 июня 2018 №204 утвержден «Порядок сопровождения инвестиционных проектов по принципу «одного окна» на территории Быстринского муниципального района, согласно приложению» (далее — Порядок).</w:t>
      </w:r>
    </w:p>
    <w:p>
      <w:pPr>
        <w:pStyle w:val="Normal"/>
        <w:widowControl/>
        <w:suppressAutoHyphens w:val="true"/>
        <w:overflowPunct w:val="false"/>
        <w:bidi w:val="0"/>
        <w:snapToGrid w:val="false"/>
        <w:spacing w:lineRule="auto" w:line="240" w:before="0" w:after="0"/>
        <w:jc w:val="both"/>
        <w:rPr>
          <w:b w:val="false"/>
          <w:b w:val="false"/>
          <w:bCs w:val="false"/>
          <w:sz w:val="30"/>
          <w:szCs w:val="30"/>
          <w:lang w:val="ru-RU"/>
        </w:rPr>
      </w:pPr>
      <w:r>
        <w:rPr>
          <w:b w:val="false"/>
          <w:bCs w:val="false"/>
          <w:color w:val="000000"/>
          <w:sz w:val="26"/>
          <w:szCs w:val="26"/>
          <w:lang w:val="ru-RU"/>
        </w:rPr>
        <w:t>Целью сопровождения инвестиционных проектов является повышение эффективности взаимодействия органов местного самоуправления с субъектами инвестиционной деятельности (инвесторов), создание благоприятного инвестиционного климата, снижение административных барьеров (сокращение сроков) при проведении подготовительных, согласительных и разрешительных процедур специалистами районной администрации в период подготовки и (или) реализации инвестиционных проектов на территории Быстринского муниципального района.</w:t>
      </w:r>
    </w:p>
    <w:p>
      <w:pPr>
        <w:pStyle w:val="Normal"/>
        <w:widowControl/>
        <w:numPr>
          <w:ilvl w:val="0"/>
          <w:numId w:val="0"/>
        </w:numPr>
        <w:shd w:val="clear" w:fill="FFFFFF"/>
        <w:suppressAutoHyphens w:val="true"/>
        <w:overflowPunct w:val="false"/>
        <w:bidi w:val="0"/>
        <w:snapToGrid w:val="false"/>
        <w:spacing w:lineRule="atLeast" w:line="100" w:before="0" w:after="0"/>
        <w:ind w:left="0" w:right="0" w:firstLine="624"/>
        <w:jc w:val="both"/>
        <w:rPr/>
      </w:pPr>
      <w:r>
        <w:rPr>
          <w:rFonts w:eastAsia="Times New Roman" w:cs="Times New Roman"/>
          <w:b w:val="false"/>
          <w:bCs w:val="false"/>
          <w:color w:val="auto"/>
          <w:sz w:val="26"/>
          <w:szCs w:val="26"/>
          <w:lang w:val="ru-RU" w:eastAsia="ru-RU" w:bidi="ar-SA"/>
        </w:rPr>
        <w:t>Заинтересованность инвестора в той или иной территории определяется множеством факторов: наличием свободных земельных участков, предоставлением льгот по налогам, освобождением от уплаты части арендной платы за земельные участки, льгот при аренде объектов недвижимости муниципальной собственности, величиной тарифов на услуги естественных монополий, взаимоотношением (доверием) между бизнесом и властью.</w:t>
      </w:r>
    </w:p>
    <w:p>
      <w:pPr>
        <w:pStyle w:val="Normal"/>
        <w:widowControl/>
        <w:suppressAutoHyphens w:val="true"/>
        <w:overflowPunct w:val="false"/>
        <w:bidi w:val="0"/>
        <w:snapToGrid w:val="false"/>
        <w:spacing w:lineRule="auto" w:line="240" w:before="0" w:after="0"/>
        <w:ind w:left="0" w:right="0" w:firstLine="680"/>
        <w:jc w:val="both"/>
        <w:rPr/>
      </w:pPr>
      <w:r>
        <w:rPr>
          <w:rFonts w:eastAsia="Times New Roman" w:cs="Times New Roman"/>
          <w:b w:val="false"/>
          <w:bCs w:val="false"/>
          <w:color w:val="auto"/>
          <w:sz w:val="26"/>
          <w:szCs w:val="26"/>
          <w:lang w:val="ru-RU" w:eastAsia="ru-RU" w:bidi="ar-SA"/>
        </w:rPr>
        <w:t>На официальном сайте  органов местного самоуправления Быстринского муниципального района в информационно-телекоммуникационной сети «Интернет» в разделе «Предпринимательство и инвестиции</w:t>
      </w:r>
      <w:r>
        <w:rPr>
          <w:rStyle w:val="Style12"/>
          <w:rFonts w:eastAsia="Times New Roman" w:cs="Times New Roman"/>
          <w:b w:val="false"/>
          <w:bCs w:val="false"/>
          <w:color w:val="auto"/>
          <w:sz w:val="26"/>
          <w:szCs w:val="26"/>
          <w:lang w:val="ru-RU" w:eastAsia="ru-RU" w:bidi="ar-SA"/>
        </w:rPr>
        <w:footnoteReference w:id="2"/>
      </w:r>
      <w:r>
        <w:rPr>
          <w:rFonts w:eastAsia="Times New Roman" w:cs="Times New Roman"/>
          <w:b w:val="false"/>
          <w:bCs w:val="false"/>
          <w:color w:val="auto"/>
          <w:sz w:val="26"/>
          <w:szCs w:val="26"/>
          <w:lang w:val="ru-RU" w:eastAsia="ru-RU" w:bidi="ar-SA"/>
        </w:rPr>
        <w:t xml:space="preserve">» размещено: </w:t>
      </w:r>
    </w:p>
    <w:p>
      <w:pPr>
        <w:pStyle w:val="Normal"/>
        <w:widowControl/>
        <w:suppressAutoHyphens w:val="true"/>
        <w:overflowPunct w:val="false"/>
        <w:bidi w:val="0"/>
        <w:snapToGrid w:val="false"/>
        <w:spacing w:lineRule="auto" w:line="240" w:before="0" w:after="0"/>
        <w:ind w:left="0" w:right="0" w:firstLine="680"/>
        <w:jc w:val="both"/>
        <w:rPr/>
      </w:pPr>
      <w:bookmarkStart w:id="0" w:name="__DdeLink__14367_1224504050"/>
      <w:r>
        <w:rPr>
          <w:rFonts w:eastAsia="Times New Roman" w:cs="Times New Roman"/>
          <w:b w:val="false"/>
          <w:bCs w:val="false"/>
          <w:i w:val="false"/>
          <w:iCs w:val="false"/>
          <w:color w:val="auto"/>
          <w:sz w:val="26"/>
          <w:szCs w:val="26"/>
          <w:lang w:val="ru-RU" w:eastAsia="ru-RU" w:bidi="ar-SA"/>
        </w:rPr>
        <w:t>Постановление администрации Быстринского муниципального района от 07.06.2018 №204 «Об утверждении Порядка сопровождения инвестиционных проектов по принципу «одного окна» на территории Быстринского муниципального района».</w:t>
      </w:r>
      <w:bookmarkEnd w:id="0"/>
    </w:p>
    <w:p>
      <w:pPr>
        <w:pStyle w:val="Normal"/>
        <w:widowControl/>
        <w:suppressAutoHyphens w:val="true"/>
        <w:overflowPunct w:val="false"/>
        <w:bidi w:val="0"/>
        <w:snapToGrid w:val="false"/>
        <w:spacing w:lineRule="auto" w:line="240" w:before="0" w:after="0"/>
        <w:ind w:left="0" w:right="0" w:firstLine="680"/>
        <w:jc w:val="both"/>
        <w:rPr/>
      </w:pPr>
      <w:r>
        <w:rPr>
          <w:rFonts w:eastAsia="Times New Roman" w:cs="Times New Roman"/>
          <w:b w:val="false"/>
          <w:bCs w:val="false"/>
          <w:i w:val="false"/>
          <w:iCs w:val="false"/>
          <w:color w:val="auto"/>
          <w:sz w:val="26"/>
          <w:szCs w:val="26"/>
          <w:lang w:val="ru-RU" w:eastAsia="ru-RU" w:bidi="ar-SA"/>
        </w:rPr>
        <w:t xml:space="preserve">Работа по сопровождению инвестиционных проектов по принципу «одного окна» на ранних стадиях реализации инвестиционного проекта при его планировании районной администрацией ведется на постоянной основе. </w:t>
      </w:r>
    </w:p>
    <w:sectPr>
      <w:footerReference w:type="default" r:id="rId2"/>
      <w:footnotePr>
        <w:numFmt w:val="decimal"/>
      </w:footnotePr>
      <w:type w:val="nextPage"/>
      <w:pgSz w:w="11906" w:h="16838"/>
      <w:pgMar w:left="1134" w:right="1134" w:header="0" w:top="794" w:footer="794" w:bottom="1298" w:gutter="0"/>
      <w:pgNumType w:fmt="decimal"/>
      <w:formProt w:val="false"/>
      <w:textDirection w:val="lrTb"/>
      <w:docGrid w:type="default" w:linePitch="600" w:charSpace="2457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Wingdings">
    <w:charset w:val="01"/>
    <w:family w:val="roman"/>
    <w:pitch w:val="variable"/>
  </w:font>
  <w:font w:name="Symbol">
    <w:altName w:val="Liberation Mono"/>
    <w:charset w:val="01"/>
    <w:family w:val="roman"/>
    <w:pitch w:val="variable"/>
  </w:font>
  <w:font w:name="Courier New">
    <w:charset w:val="01"/>
    <w:family w:val="roman"/>
    <w:pitch w:val="variable"/>
  </w:font>
  <w:font w:name="OpenSymbol">
    <w:altName w:val="Arial Unicode MS"/>
    <w:charset w:val="01"/>
    <w:family w:val="roman"/>
    <w:pitch w:val="variable"/>
  </w:font>
  <w:font w:name="Arial">
    <w:charset w:val="01"/>
    <w:family w:val="roman"/>
    <w:pitch w:val="variable"/>
  </w:font>
  <w:font w:name="Tahoma">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5"/>
      <w:widowControl/>
      <w:suppressLineNumbers/>
      <w:tabs>
        <w:tab w:val="left" w:pos="225" w:leader="none"/>
        <w:tab w:val="center" w:pos="4818" w:leader="none"/>
        <w:tab w:val="right" w:pos="9637" w:leader="none"/>
      </w:tabs>
      <w:suppressAutoHyphens w:val="true"/>
      <w:overflowPunct w:val="false"/>
      <w:bidi w:val="0"/>
      <w:spacing w:lineRule="auto" w:line="240" w:before="0" w:after="0"/>
      <w:ind w:left="0" w:right="0" w:hanging="0"/>
      <w:jc w:val="center"/>
      <w:rPr/>
    </w:pPr>
    <w:r>
      <w:rPr>
        <w:rStyle w:val="Style22"/>
        <w:rFonts w:cs="Liberation Serif;Times New Roman" w:ascii="Liberation Serif;Times New Roman" w:hAnsi="Liberation Serif;Times New Roman"/>
        <w:sz w:val="20"/>
        <w:szCs w:val="20"/>
      </w:rPr>
      <w:t xml:space="preserve">стр. </w:t>
    </w:r>
    <w:r>
      <w:rPr>
        <w:sz w:val="20"/>
        <w:szCs w:val="20"/>
      </w:rPr>
      <w:fldChar w:fldCharType="begin"/>
    </w:r>
    <w:r>
      <w:rPr>
        <w:sz w:val="20"/>
        <w:szCs w:val="20"/>
      </w:rPr>
      <w:instrText> PAGE </w:instrText>
    </w:r>
    <w:r>
      <w:rPr>
        <w:sz w:val="20"/>
        <w:szCs w:val="20"/>
      </w:rPr>
      <w:fldChar w:fldCharType="separate"/>
    </w:r>
    <w:r>
      <w:rPr>
        <w:sz w:val="20"/>
        <w:szCs w:val="20"/>
      </w:rPr>
      <w:t>1</w:t>
    </w:r>
    <w:r>
      <w:rPr>
        <w:sz w:val="20"/>
        <w:szCs w:val="20"/>
      </w:rPr>
      <w:fldChar w:fldCharType="end"/>
    </w:r>
    <w:r>
      <w:rPr>
        <w:rStyle w:val="Style22"/>
        <w:rFonts w:cs="Liberation Serif;Times New Roman" w:ascii="Liberation Serif;Times New Roman" w:hAnsi="Liberation Serif;Times New Roman"/>
        <w:sz w:val="20"/>
        <w:szCs w:val="20"/>
      </w:rPr>
      <w:t xml:space="preserve"> из </w:t>
    </w:r>
    <w:r>
      <w:rPr>
        <w:sz w:val="20"/>
        <w:szCs w:val="20"/>
      </w:rPr>
      <w:fldChar w:fldCharType="begin"/>
    </w:r>
    <w:r>
      <w:rPr>
        <w:sz w:val="20"/>
        <w:szCs w:val="20"/>
      </w:rPr>
      <w:instrText> NUMPAGES </w:instrText>
    </w:r>
    <w:r>
      <w:rPr>
        <w:sz w:val="20"/>
        <w:szCs w:val="20"/>
      </w:rPr>
      <w:fldChar w:fldCharType="separate"/>
    </w:r>
    <w:r>
      <w:rPr>
        <w:sz w:val="20"/>
        <w:szCs w:val="20"/>
      </w:rPr>
      <w:t>1</w:t>
    </w:r>
    <w:r>
      <w:rPr>
        <w:sz w:val="20"/>
        <w:szCs w:val="20"/>
      </w:rPr>
      <w:fldChar w:fldCharType="end"/>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Style30"/>
        <w:rPr/>
      </w:pPr>
      <w:r>
        <w:rPr>
          <w:rStyle w:val="Style13"/>
        </w:rPr>
        <w:footnoteRef/>
      </w:r>
      <w:r>
        <w:rPr/>
        <w:t>https://essobmr.ru/economic/invest/</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432" w:hanging="432"/>
      </w:pPr>
    </w:lvl>
    <w:lvl w:ilvl="1">
      <w:start w:val="1"/>
      <w:pStyle w:val="2"/>
      <w:numFmt w:val="none"/>
      <w:suff w:val="nothing"/>
      <w:lvlText w:val=""/>
      <w:lvlJc w:val="left"/>
      <w:pPr>
        <w:ind w:left="576" w:hanging="576"/>
      </w:pPr>
    </w:lvl>
    <w:lvl w:ilvl="2">
      <w:start w:val="1"/>
      <w:pStyle w:val="3"/>
      <w:numFmt w:val="none"/>
      <w:suff w:val="nothing"/>
      <w:lvlText w:val=""/>
      <w:lvlJc w:val="left"/>
      <w:pPr>
        <w:ind w:left="720" w:hanging="72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bering>
</file>

<file path=word/settings.xml><?xml version="1.0" encoding="utf-8"?>
<w:settings xmlns:w="http://schemas.openxmlformats.org/wordprocessingml/2006/main">
  <w:zoom w:percent="120"/>
  <w:displayBackgroundShape/>
  <w:defaultTabStop w:val="708"/>
  <w:autoHyphenation w:val="false"/>
  <w:footnotePr>
    <w:numFmt w:val="decimal"/>
    <w:footnote w:id="0"/>
    <w:footnote w:id="1"/>
  </w:footnotePr>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ru-RU" w:eastAsia="zh-CN" w:bidi="hi-IN"/>
      </w:rPr>
    </w:rPrDefault>
    <w:pPrDefault>
      <w:pPr/>
    </w:pPrDefault>
  </w:docDefaults>
  <w:style w:type="paragraph" w:styleId="Normal">
    <w:name w:val="Normal"/>
    <w:qFormat/>
    <w:pPr>
      <w:widowControl/>
      <w:suppressAutoHyphens w:val="true"/>
      <w:overflowPunct w:val="false"/>
      <w:bidi w:val="0"/>
      <w:spacing w:before="0" w:after="0"/>
      <w:ind w:left="0" w:right="0" w:firstLine="567"/>
      <w:jc w:val="both"/>
    </w:pPr>
    <w:rPr>
      <w:rFonts w:ascii="Times New Roman" w:hAnsi="Times New Roman" w:eastAsia="Times New Roman" w:cs="Times New Roman"/>
      <w:color w:val="000000"/>
      <w:kern w:val="0"/>
      <w:sz w:val="20"/>
      <w:szCs w:val="20"/>
      <w:lang w:val="ru-RU" w:eastAsia="zxx" w:bidi="ar-SA"/>
    </w:rPr>
  </w:style>
  <w:style w:type="paragraph" w:styleId="1">
    <w:name w:val="Heading 1"/>
    <w:basedOn w:val="Normal"/>
    <w:next w:val="Normal"/>
    <w:qFormat/>
    <w:pPr>
      <w:keepNext w:val="true"/>
      <w:numPr>
        <w:ilvl w:val="0"/>
        <w:numId w:val="1"/>
      </w:numPr>
      <w:tabs>
        <w:tab w:val="clear" w:pos="708"/>
        <w:tab w:val="left" w:pos="0" w:leader="none"/>
      </w:tabs>
      <w:spacing w:lineRule="atLeast" w:line="240"/>
      <w:ind w:left="14" w:right="-1159" w:hanging="0"/>
      <w:outlineLvl w:val="0"/>
    </w:pPr>
    <w:rPr>
      <w:b/>
      <w:sz w:val="24"/>
    </w:rPr>
  </w:style>
  <w:style w:type="paragraph" w:styleId="2">
    <w:name w:val="Heading 2"/>
    <w:basedOn w:val="Normal"/>
    <w:next w:val="Normal"/>
    <w:qFormat/>
    <w:pPr>
      <w:keepNext w:val="true"/>
      <w:numPr>
        <w:ilvl w:val="1"/>
        <w:numId w:val="1"/>
      </w:numPr>
      <w:tabs>
        <w:tab w:val="clear" w:pos="708"/>
        <w:tab w:val="left" w:pos="0" w:leader="none"/>
      </w:tabs>
      <w:jc w:val="both"/>
      <w:outlineLvl w:val="1"/>
    </w:pPr>
    <w:rPr>
      <w:sz w:val="26"/>
    </w:rPr>
  </w:style>
  <w:style w:type="paragraph" w:styleId="3">
    <w:name w:val="Heading 3"/>
    <w:basedOn w:val="Normal"/>
    <w:next w:val="Normal"/>
    <w:qFormat/>
    <w:pPr>
      <w:keepNext w:val="true"/>
      <w:numPr>
        <w:ilvl w:val="2"/>
        <w:numId w:val="1"/>
      </w:numPr>
      <w:tabs>
        <w:tab w:val="clear" w:pos="708"/>
        <w:tab w:val="left" w:pos="0" w:leader="none"/>
      </w:tabs>
      <w:jc w:val="center"/>
      <w:outlineLvl w:val="2"/>
    </w:pPr>
    <w:rPr>
      <w:b/>
      <w:caps/>
      <w:sz w:val="24"/>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Style11">
    <w:name w:val="Основной шрифт абзаца"/>
    <w:qFormat/>
    <w:rPr/>
  </w:style>
  <w:style w:type="character" w:styleId="Style12">
    <w:name w:val="Привязка сноски"/>
    <w:rPr>
      <w:vertAlign w:val="superscript"/>
    </w:rPr>
  </w:style>
  <w:style w:type="character" w:styleId="FootnoteCharacters">
    <w:name w:val="Footnote Characters"/>
    <w:qFormat/>
    <w:rPr>
      <w:vertAlign w:val="superscript"/>
    </w:rPr>
  </w:style>
  <w:style w:type="character" w:styleId="11">
    <w:name w:val="Знак концевой сноски1"/>
    <w:qFormat/>
    <w:rPr>
      <w:vertAlign w:val="superscript"/>
    </w:rPr>
  </w:style>
  <w:style w:type="character" w:styleId="WW1">
    <w:name w:val="WW-Символ сноски1"/>
    <w:qFormat/>
    <w:rPr>
      <w:vertAlign w:val="superscript"/>
    </w:rPr>
  </w:style>
  <w:style w:type="character" w:styleId="Style13">
    <w:name w:val="Символ сноски"/>
    <w:qFormat/>
    <w:rPr>
      <w:vertAlign w:val="superscript"/>
    </w:rPr>
  </w:style>
  <w:style w:type="character" w:styleId="Style14">
    <w:name w:val="Гипертекстовая ссылка"/>
    <w:qFormat/>
    <w:rPr>
      <w:color w:val="008000"/>
    </w:rPr>
  </w:style>
  <w:style w:type="character" w:styleId="WW8Num26z2">
    <w:name w:val="WW8Num26z2"/>
    <w:qFormat/>
    <w:rPr>
      <w:rFonts w:ascii="Wingdings" w:hAnsi="Wingdings" w:cs="Wingdings"/>
    </w:rPr>
  </w:style>
  <w:style w:type="character" w:styleId="12">
    <w:name w:val="Знак сноски1"/>
    <w:qFormat/>
    <w:rPr>
      <w:vertAlign w:val="superscript"/>
    </w:rPr>
  </w:style>
  <w:style w:type="character" w:styleId="DefaultParagraphFont">
    <w:name w:val="Default Paragraph Font"/>
    <w:qFormat/>
    <w:rPr/>
  </w:style>
  <w:style w:type="character" w:styleId="Appleconvertedspace">
    <w:name w:val="apple-converted-space"/>
    <w:basedOn w:val="DefaultParagraphFont"/>
    <w:qFormat/>
    <w:rPr/>
  </w:style>
  <w:style w:type="character" w:styleId="WW">
    <w:name w:val="WW-Символы концевой сноски"/>
    <w:qFormat/>
    <w:rPr/>
  </w:style>
  <w:style w:type="character" w:styleId="Style15">
    <w:name w:val="Символ нумерации"/>
    <w:qFormat/>
    <w:rPr/>
  </w:style>
  <w:style w:type="character" w:styleId="WW8Num26z0">
    <w:name w:val="WW8Num26z0"/>
    <w:qFormat/>
    <w:rPr>
      <w:rFonts w:ascii="Symbol;Liberation Mono" w:hAnsi="Symbol;Liberation Mono" w:cs="Symbol;Liberation Mono"/>
    </w:rPr>
  </w:style>
  <w:style w:type="character" w:styleId="WWAbsatzStandardschriftart">
    <w:name w:val="WW-Absatz-Standardschriftart"/>
    <w:qFormat/>
    <w:rPr/>
  </w:style>
  <w:style w:type="character" w:styleId="Style16">
    <w:name w:val="Символы концевой сноски"/>
    <w:qFormat/>
    <w:rPr>
      <w:vertAlign w:val="superscript"/>
    </w:rPr>
  </w:style>
  <w:style w:type="character" w:styleId="Style17">
    <w:name w:val="Знак концевой сноски"/>
    <w:qFormat/>
    <w:rPr>
      <w:vertAlign w:val="superscript"/>
    </w:rPr>
  </w:style>
  <w:style w:type="character" w:styleId="WW2">
    <w:name w:val="WW-Символ сноски"/>
    <w:qFormat/>
    <w:rPr/>
  </w:style>
  <w:style w:type="character" w:styleId="WW8Num26z1">
    <w:name w:val="WW8Num26z1"/>
    <w:qFormat/>
    <w:rPr>
      <w:rFonts w:ascii="Courier New" w:hAnsi="Courier New" w:cs="Courier New"/>
    </w:rPr>
  </w:style>
  <w:style w:type="character" w:styleId="13">
    <w:name w:val="Основной шрифт абзаца1"/>
    <w:qFormat/>
    <w:rPr/>
  </w:style>
  <w:style w:type="character" w:styleId="AbsatzStandardschriftart">
    <w:name w:val="Absatz-Standardschriftart"/>
    <w:qFormat/>
    <w:rPr/>
  </w:style>
  <w:style w:type="character" w:styleId="Style18">
    <w:name w:val="Знак сноски"/>
    <w:qFormat/>
    <w:rPr>
      <w:vertAlign w:val="superscript"/>
    </w:rPr>
  </w:style>
  <w:style w:type="character" w:styleId="Style19">
    <w:name w:val="Интернет-ссылка"/>
    <w:basedOn w:val="13"/>
    <w:rPr>
      <w:color w:val="0000FF"/>
    </w:rPr>
  </w:style>
  <w:style w:type="character" w:styleId="111">
    <w:name w:val="Основной шрифт абзаца11"/>
    <w:qFormat/>
    <w:rPr/>
  </w:style>
  <w:style w:type="character" w:styleId="Style20">
    <w:name w:val="Символ концевой сноски"/>
    <w:qFormat/>
    <w:rPr>
      <w:vertAlign w:val="superscript"/>
    </w:rPr>
  </w:style>
  <w:style w:type="character" w:styleId="Style21">
    <w:name w:val="Маркеры списка"/>
    <w:qFormat/>
    <w:rPr>
      <w:rFonts w:ascii="OpenSymbol;Arial Unicode MS" w:hAnsi="OpenSymbol;Arial Unicode MS" w:eastAsia="OpenSymbol;Arial Unicode MS" w:cs="OpenSymbol;Arial Unicode MS"/>
    </w:rPr>
  </w:style>
  <w:style w:type="character" w:styleId="Style22">
    <w:name w:val="Номер страницы"/>
    <w:basedOn w:val="13"/>
    <w:rPr/>
  </w:style>
  <w:style w:type="character" w:styleId="Style23">
    <w:name w:val="Посещённая гиперссылка"/>
    <w:basedOn w:val="Style11"/>
    <w:rPr>
      <w:color w:val="800080"/>
      <w:u w:val="single"/>
    </w:rPr>
  </w:style>
  <w:style w:type="character" w:styleId="Style24">
    <w:name w:val="Привязка концевой сноски"/>
    <w:rPr>
      <w:vertAlign w:val="superscript"/>
    </w:rPr>
  </w:style>
  <w:style w:type="paragraph" w:styleId="Style25">
    <w:name w:val="Заголовок"/>
    <w:basedOn w:val="Normal"/>
    <w:next w:val="Style26"/>
    <w:qFormat/>
    <w:pPr>
      <w:keepNext w:val="true"/>
      <w:spacing w:before="240" w:after="120"/>
    </w:pPr>
    <w:rPr>
      <w:rFonts w:ascii="Arial" w:hAnsi="Arial" w:eastAsia="MS Mincho;Liberation Mono" w:cs="Tahoma"/>
      <w:sz w:val="28"/>
      <w:szCs w:val="28"/>
    </w:rPr>
  </w:style>
  <w:style w:type="paragraph" w:styleId="Style26">
    <w:name w:val="Body Text"/>
    <w:basedOn w:val="Normal"/>
    <w:pPr>
      <w:spacing w:before="0" w:after="120"/>
    </w:pPr>
    <w:rPr/>
  </w:style>
  <w:style w:type="paragraph" w:styleId="Style27">
    <w:name w:val="List"/>
    <w:basedOn w:val="Style26"/>
    <w:pPr/>
    <w:rPr>
      <w:rFonts w:cs="Tahoma"/>
    </w:rPr>
  </w:style>
  <w:style w:type="paragraph" w:styleId="Style28">
    <w:name w:val="Caption"/>
    <w:basedOn w:val="Normal"/>
    <w:qFormat/>
    <w:pPr>
      <w:suppressLineNumbers/>
      <w:spacing w:before="120" w:after="120"/>
    </w:pPr>
    <w:rPr>
      <w:rFonts w:cs="Raghindi"/>
      <w:i/>
      <w:iCs/>
      <w:sz w:val="24"/>
      <w:szCs w:val="24"/>
    </w:rPr>
  </w:style>
  <w:style w:type="paragraph" w:styleId="Style29">
    <w:name w:val="Указатель"/>
    <w:basedOn w:val="Normal"/>
    <w:qFormat/>
    <w:pPr>
      <w:suppressLineNumbers/>
    </w:pPr>
    <w:rPr>
      <w:rFonts w:cs="Raghindi"/>
    </w:rPr>
  </w:style>
  <w:style w:type="paragraph" w:styleId="112">
    <w:name w:val="Обычный (веб)11"/>
    <w:basedOn w:val="Normal"/>
    <w:qFormat/>
    <w:pPr>
      <w:spacing w:before="280" w:after="280"/>
    </w:pPr>
    <w:rPr/>
  </w:style>
  <w:style w:type="paragraph" w:styleId="Style30">
    <w:name w:val="Footnote Text"/>
    <w:basedOn w:val="Normal"/>
    <w:qFormat/>
    <w:pPr>
      <w:spacing w:lineRule="auto" w:line="240" w:before="0" w:after="0"/>
    </w:pPr>
    <w:rPr>
      <w:rFonts w:ascii="Times New Roman" w:hAnsi="Times New Roman" w:eastAsia="Times New Roman" w:cs="Times New Roman"/>
      <w:sz w:val="20"/>
      <w:szCs w:val="20"/>
      <w:lang w:val="x-none" w:eastAsia="x-none"/>
    </w:rPr>
  </w:style>
  <w:style w:type="paragraph" w:styleId="21">
    <w:name w:val="Абзац списка2"/>
    <w:basedOn w:val="Normal"/>
    <w:qFormat/>
    <w:pPr>
      <w:spacing w:before="0" w:after="0"/>
      <w:ind w:left="720" w:right="0" w:hanging="0"/>
      <w:contextualSpacing/>
    </w:pPr>
    <w:rPr>
      <w:rFonts w:eastAsia="Calibri"/>
    </w:rPr>
  </w:style>
  <w:style w:type="paragraph" w:styleId="14">
    <w:name w:val="Указатель1"/>
    <w:basedOn w:val="Normal"/>
    <w:qFormat/>
    <w:pPr>
      <w:suppressLineNumbers/>
    </w:pPr>
    <w:rPr>
      <w:rFonts w:cs="Tahoma"/>
    </w:rPr>
  </w:style>
  <w:style w:type="paragraph" w:styleId="Style31">
    <w:name w:val="Содержимое таблицы"/>
    <w:basedOn w:val="Normal"/>
    <w:qFormat/>
    <w:pPr>
      <w:suppressLineNumbers/>
    </w:pPr>
    <w:rPr/>
  </w:style>
  <w:style w:type="paragraph" w:styleId="Style32">
    <w:name w:val="Содержимое врезки"/>
    <w:basedOn w:val="Style26"/>
    <w:qFormat/>
    <w:pPr/>
    <w:rPr/>
  </w:style>
  <w:style w:type="paragraph" w:styleId="ConsPlusNonformat">
    <w:name w:val="ConsPlusNonformat"/>
    <w:qFormat/>
    <w:pPr>
      <w:widowControl w:val="false"/>
      <w:suppressAutoHyphens w:val="true"/>
      <w:overflowPunct w:val="false"/>
      <w:bidi w:val="0"/>
      <w:spacing w:before="0" w:after="0"/>
      <w:jc w:val="left"/>
    </w:pPr>
    <w:rPr>
      <w:rFonts w:ascii="Times New Roman" w:hAnsi="Times New Roman" w:eastAsia="Times New Roman" w:cs="Times New Roman"/>
      <w:color w:val="auto"/>
      <w:kern w:val="0"/>
      <w:sz w:val="20"/>
      <w:szCs w:val="20"/>
      <w:lang w:val="ru-RU" w:eastAsia="zh-CN" w:bidi="ar-SA"/>
    </w:rPr>
  </w:style>
  <w:style w:type="paragraph" w:styleId="15">
    <w:name w:val="Текст выноски1"/>
    <w:basedOn w:val="Normal"/>
    <w:qFormat/>
    <w:pPr/>
    <w:rPr>
      <w:rFonts w:ascii="Tahoma" w:hAnsi="Tahoma" w:cs="Tahoma"/>
      <w:sz w:val="16"/>
      <w:szCs w:val="16"/>
    </w:rPr>
  </w:style>
  <w:style w:type="paragraph" w:styleId="16">
    <w:name w:val="Обычный (веб)1"/>
    <w:basedOn w:val="Normal"/>
    <w:qFormat/>
    <w:pPr>
      <w:spacing w:before="280" w:after="280"/>
    </w:pPr>
    <w:rPr/>
  </w:style>
  <w:style w:type="paragraph" w:styleId="ListParagraph">
    <w:name w:val="List Paragraph"/>
    <w:basedOn w:val="Normal"/>
    <w:qFormat/>
    <w:pPr>
      <w:spacing w:before="0" w:after="160"/>
      <w:ind w:left="720" w:right="0" w:hanging="0"/>
      <w:contextualSpacing/>
    </w:pPr>
    <w:rPr/>
  </w:style>
  <w:style w:type="paragraph" w:styleId="NormalWeb">
    <w:name w:val="Normal (Web)"/>
    <w:basedOn w:val="Normal"/>
    <w:qFormat/>
    <w:pPr>
      <w:spacing w:before="280" w:after="280"/>
    </w:pPr>
    <w:rPr/>
  </w:style>
  <w:style w:type="paragraph" w:styleId="113">
    <w:name w:val="Указатель11"/>
    <w:basedOn w:val="Normal"/>
    <w:qFormat/>
    <w:pPr>
      <w:suppressLineNumbers/>
    </w:pPr>
    <w:rPr>
      <w:rFonts w:cs="Raghindi"/>
    </w:rPr>
  </w:style>
  <w:style w:type="paragraph" w:styleId="Style33">
    <w:name w:val="Заголовок таблицы"/>
    <w:basedOn w:val="Style31"/>
    <w:qFormat/>
    <w:pPr>
      <w:suppressLineNumbers/>
      <w:jc w:val="center"/>
    </w:pPr>
    <w:rPr>
      <w:b/>
      <w:bCs/>
    </w:rPr>
  </w:style>
  <w:style w:type="paragraph" w:styleId="ConsPlusNormal">
    <w:name w:val="ConsPlusNormal"/>
    <w:qFormat/>
    <w:pPr>
      <w:widowControl w:val="false"/>
      <w:suppressAutoHyphens w:val="true"/>
      <w:overflowPunct w:val="false"/>
      <w:bidi w:val="0"/>
      <w:spacing w:lineRule="auto" w:line="240" w:before="0" w:after="0"/>
      <w:jc w:val="left"/>
    </w:pPr>
    <w:rPr>
      <w:rFonts w:ascii="Times New Roman" w:hAnsi="Times New Roman" w:eastAsia="Times New Roman" w:cs="Times New Roman"/>
      <w:color w:val="000000"/>
      <w:kern w:val="0"/>
      <w:sz w:val="20"/>
      <w:szCs w:val="20"/>
      <w:lang w:val="ru-RU" w:eastAsia="ar-SA" w:bidi="hi-IN"/>
    </w:rPr>
  </w:style>
  <w:style w:type="paragraph" w:styleId="Style34">
    <w:name w:val="Верхний и нижний колонтитулы"/>
    <w:basedOn w:val="Normal"/>
    <w:qFormat/>
    <w:pPr>
      <w:suppressLineNumbers/>
      <w:tabs>
        <w:tab w:val="clear" w:pos="708"/>
        <w:tab w:val="center" w:pos="4819" w:leader="none"/>
        <w:tab w:val="right" w:pos="9638" w:leader="none"/>
      </w:tabs>
    </w:pPr>
    <w:rPr/>
  </w:style>
  <w:style w:type="paragraph" w:styleId="Style35">
    <w:name w:val="Footer"/>
    <w:basedOn w:val="Normal"/>
    <w:pPr>
      <w:suppressLineNumbers/>
      <w:tabs>
        <w:tab w:val="clear" w:pos="708"/>
        <w:tab w:val="center" w:pos="4818" w:leader="none"/>
        <w:tab w:val="right" w:pos="9637" w:leader="none"/>
      </w:tabs>
    </w:pPr>
    <w:rPr/>
  </w:style>
  <w:style w:type="paragraph" w:styleId="Style36">
    <w:name w:val="Нормальный (таблица)"/>
    <w:basedOn w:val="Normal"/>
    <w:next w:val="Normal"/>
    <w:qFormat/>
    <w:pPr>
      <w:ind w:left="0" w:right="0" w:hanging="0"/>
    </w:pPr>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1248</TotalTime>
  <Application>LibreOffice/6.3.6.2$Linux_X86_64 LibreOffice_project/30$Build-2</Application>
  <Pages>1</Pages>
  <Words>320</Words>
  <Characters>2723</Characters>
  <CharactersWithSpaces>3037</CharactersWithSpaces>
  <Paragraphs>11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2012-09-11T16:30:00Z</dcterms:created>
  <dc:creator>Вячеслав</dc:creator>
  <dc:description/>
  <dc:language>ru-RU</dc:language>
  <cp:lastModifiedBy/>
  <cp:lastPrinted>2014-02-03T14:45:00Z</cp:lastPrinted>
  <dcterms:modified xsi:type="dcterms:W3CDTF">2023-12-25T09:48:11Z</dcterms:modified>
  <cp:revision>512</cp:revision>
  <dc:subject/>
  <dc:title>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KSOProductBuildVer">
    <vt:lpwstr>1049-10.1.0.5707</vt:lpwstr>
  </property>
</Properties>
</file>